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1741" w14:textId="70A10D33" w:rsidR="00DB79DF" w:rsidRDefault="00DB79DF" w:rsidP="00DB79DF">
      <w:pPr>
        <w:spacing w:before="120" w:after="120" w:line="240" w:lineRule="auto"/>
        <w:jc w:val="center"/>
        <w:rPr>
          <w:b/>
          <w:color w:val="44546A" w:themeColor="text2"/>
          <w:sz w:val="36"/>
        </w:rPr>
      </w:pPr>
      <w:bookmarkStart w:id="0" w:name="_GoBack"/>
      <w:bookmarkEnd w:id="0"/>
      <w:r>
        <w:rPr>
          <w:b/>
          <w:noProof/>
          <w:color w:val="44546A" w:themeColor="text2"/>
          <w:sz w:val="36"/>
        </w:rPr>
        <w:drawing>
          <wp:inline distT="0" distB="0" distL="0" distR="0" wp14:anchorId="6D8454F6" wp14:editId="7700AA9D">
            <wp:extent cx="5731510" cy="1031240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3DA1B" w14:textId="585DDF1C" w:rsidR="00DB79DF" w:rsidRPr="0095747A" w:rsidRDefault="00DB79DF" w:rsidP="00DB79DF">
      <w:pPr>
        <w:spacing w:before="120" w:after="120" w:line="240" w:lineRule="auto"/>
        <w:jc w:val="center"/>
        <w:rPr>
          <w:rFonts w:ascii="Arial Nova Cond" w:hAnsi="Arial Nova Cond"/>
          <w:b/>
          <w:color w:val="C00000"/>
          <w:sz w:val="36"/>
        </w:rPr>
      </w:pPr>
      <w:r w:rsidRPr="0095747A">
        <w:rPr>
          <w:rFonts w:ascii="Arial Nova Cond" w:hAnsi="Arial Nova Cond"/>
          <w:b/>
          <w:color w:val="C00000"/>
          <w:sz w:val="36"/>
        </w:rPr>
        <w:t>Conference Opportunity: Partner Event (Side Events)</w:t>
      </w:r>
    </w:p>
    <w:p w14:paraId="36E2FD33" w14:textId="31AB28BE" w:rsidR="00DB79DF" w:rsidRPr="00AD739F" w:rsidRDefault="00DB79DF" w:rsidP="00DB79DF">
      <w:pPr>
        <w:pStyle w:val="Heading2"/>
        <w:spacing w:before="120" w:after="120" w:line="240" w:lineRule="auto"/>
        <w:jc w:val="center"/>
        <w:rPr>
          <w:rFonts w:ascii="Arial Nova Cond" w:hAnsi="Arial Nova Cond"/>
          <w:b/>
          <w:sz w:val="28"/>
          <w:szCs w:val="28"/>
        </w:rPr>
      </w:pPr>
      <w:r w:rsidRPr="00AD739F">
        <w:rPr>
          <w:rFonts w:ascii="Arial Nova Cond" w:hAnsi="Arial Nova Cond"/>
          <w:b/>
          <w:sz w:val="28"/>
          <w:szCs w:val="28"/>
        </w:rPr>
        <w:t xml:space="preserve">Want to engage with the </w:t>
      </w:r>
      <w:r w:rsidR="00C67125">
        <w:rPr>
          <w:rFonts w:ascii="Arial Nova Cond" w:hAnsi="Arial Nova Cond"/>
          <w:b/>
          <w:sz w:val="28"/>
          <w:szCs w:val="28"/>
        </w:rPr>
        <w:t xml:space="preserve">DRR </w:t>
      </w:r>
      <w:r w:rsidRPr="00AD739F">
        <w:rPr>
          <w:rFonts w:ascii="Arial Nova Cond" w:hAnsi="Arial Nova Cond"/>
          <w:b/>
          <w:sz w:val="28"/>
          <w:szCs w:val="28"/>
        </w:rPr>
        <w:t xml:space="preserve">community in a meaningful, purposeful discussion about inspiring change to reduce risk to disasters? </w:t>
      </w:r>
    </w:p>
    <w:p w14:paraId="20FB9E14" w14:textId="758D7826" w:rsidR="005751B7" w:rsidRPr="00C474D2" w:rsidRDefault="00DB79DF" w:rsidP="00E818EC">
      <w:pPr>
        <w:pStyle w:val="Heading2"/>
        <w:spacing w:before="120" w:after="120" w:line="240" w:lineRule="auto"/>
        <w:jc w:val="center"/>
        <w:rPr>
          <w:rFonts w:ascii="Arial Nova Cond" w:hAnsi="Arial Nova Cond"/>
          <w:b/>
          <w:sz w:val="22"/>
          <w:szCs w:val="22"/>
        </w:rPr>
      </w:pPr>
      <w:r w:rsidRPr="00C474D2">
        <w:rPr>
          <w:rFonts w:ascii="Arial Nova Cond" w:hAnsi="Arial Nova Cond"/>
          <w:b/>
          <w:sz w:val="22"/>
          <w:szCs w:val="22"/>
        </w:rPr>
        <w:t>Host a Partner Event at the APMCDRR 2022</w:t>
      </w:r>
    </w:p>
    <w:p w14:paraId="0D250E6C" w14:textId="77D21084" w:rsidR="005751B7" w:rsidRPr="00C474D2" w:rsidRDefault="005751B7" w:rsidP="00DB79DF">
      <w:pPr>
        <w:pStyle w:val="Heading2"/>
        <w:spacing w:before="120" w:after="120" w:line="240" w:lineRule="auto"/>
        <w:rPr>
          <w:rFonts w:ascii="Arial Nova Cond" w:hAnsi="Arial Nova Cond"/>
          <w:b/>
          <w:sz w:val="22"/>
          <w:szCs w:val="22"/>
        </w:rPr>
      </w:pPr>
      <w:bookmarkStart w:id="1" w:name="_Hlk97108401"/>
      <w:r w:rsidRPr="00C474D2">
        <w:rPr>
          <w:rFonts w:ascii="Arial Nova Cond" w:hAnsi="Arial Nova Cond"/>
          <w:b/>
          <w:sz w:val="22"/>
          <w:szCs w:val="22"/>
        </w:rPr>
        <w:t>Objective</w:t>
      </w:r>
    </w:p>
    <w:bookmarkEnd w:id="1"/>
    <w:p w14:paraId="04177B8D" w14:textId="5403C535" w:rsidR="001F094F" w:rsidRPr="00C474D2" w:rsidRDefault="001F094F" w:rsidP="001F094F">
      <w:pPr>
        <w:pStyle w:val="Heading2"/>
        <w:numPr>
          <w:ilvl w:val="0"/>
          <w:numId w:val="5"/>
        </w:numPr>
        <w:spacing w:before="120" w:after="120" w:line="240" w:lineRule="auto"/>
        <w:rPr>
          <w:rFonts w:ascii="Arial Nova Cond" w:hAnsi="Arial Nova Cond" w:cstheme="minorHAnsi"/>
          <w:sz w:val="22"/>
          <w:szCs w:val="22"/>
        </w:rPr>
      </w:pPr>
      <w:r w:rsidRPr="00C474D2">
        <w:rPr>
          <w:rFonts w:ascii="Arial Nova Cond" w:eastAsia="Times New Roman" w:hAnsi="Arial Nova Cond" w:cstheme="minorHAnsi"/>
          <w:color w:val="525252"/>
          <w:sz w:val="22"/>
          <w:szCs w:val="22"/>
        </w:rPr>
        <w:t>Support the outcomes of the APMCDRR by allowing different stakeholders and participants to present their work and contribute to the promotion and exchange of knowledge</w:t>
      </w:r>
      <w:r w:rsidR="000A66BD" w:rsidRPr="00C474D2">
        <w:rPr>
          <w:rFonts w:ascii="Arial Nova Cond" w:eastAsia="Times New Roman" w:hAnsi="Arial Nova Cond" w:cstheme="minorHAnsi"/>
          <w:color w:val="525252"/>
          <w:sz w:val="22"/>
          <w:szCs w:val="22"/>
        </w:rPr>
        <w:t>.</w:t>
      </w:r>
    </w:p>
    <w:p w14:paraId="0CADCA45" w14:textId="34C1A659" w:rsidR="00DB79DF" w:rsidRPr="00357E59" w:rsidRDefault="00DB79DF" w:rsidP="001F094F">
      <w:pPr>
        <w:pStyle w:val="Heading2"/>
        <w:spacing w:before="120" w:after="120" w:line="240" w:lineRule="auto"/>
        <w:rPr>
          <w:rFonts w:ascii="Arial Nova Cond" w:hAnsi="Arial Nova Cond" w:cstheme="minorHAnsi"/>
          <w:sz w:val="22"/>
          <w:szCs w:val="22"/>
        </w:rPr>
      </w:pPr>
      <w:r w:rsidRPr="00357E59">
        <w:rPr>
          <w:rFonts w:ascii="Arial Nova Cond" w:hAnsi="Arial Nova Cond"/>
          <w:b/>
          <w:sz w:val="22"/>
          <w:szCs w:val="22"/>
        </w:rPr>
        <w:t>Approach</w:t>
      </w:r>
    </w:p>
    <w:p w14:paraId="56C87FB6" w14:textId="444CB758" w:rsidR="00DB79DF" w:rsidRPr="00357E59" w:rsidRDefault="00DB79DF" w:rsidP="00DB79DF">
      <w:pPr>
        <w:spacing w:before="120" w:after="120" w:line="240" w:lineRule="auto"/>
        <w:rPr>
          <w:rFonts w:ascii="Arial Nova Cond" w:hAnsi="Arial Nova Cond" w:cstheme="minorHAnsi"/>
          <w:color w:val="525252" w:themeColor="accent3" w:themeShade="80"/>
        </w:rPr>
      </w:pPr>
      <w:r w:rsidRPr="00357E59">
        <w:rPr>
          <w:rFonts w:ascii="Arial Nova Cond" w:hAnsi="Arial Nova Cond"/>
          <w:color w:val="525252" w:themeColor="accent3" w:themeShade="80"/>
        </w:rPr>
        <w:t xml:space="preserve">Partner events represent the main platform for partners </w:t>
      </w:r>
      <w:r w:rsidR="00C023CA" w:rsidRPr="00357E59">
        <w:rPr>
          <w:rFonts w:ascii="Arial Nova Cond" w:hAnsi="Arial Nova Cond"/>
          <w:color w:val="525252" w:themeColor="accent3" w:themeShade="80"/>
        </w:rPr>
        <w:t xml:space="preserve">to </w:t>
      </w:r>
      <w:r w:rsidR="001F094F" w:rsidRPr="00357E59">
        <w:rPr>
          <w:rFonts w:ascii="Arial Nova Cond" w:hAnsi="Arial Nova Cond"/>
          <w:color w:val="525252" w:themeColor="accent3" w:themeShade="80"/>
        </w:rPr>
        <w:t xml:space="preserve">organize substantive discussions </w:t>
      </w:r>
      <w:r w:rsidR="000A66BD" w:rsidRPr="00357E59">
        <w:rPr>
          <w:rFonts w:ascii="Arial Nova Cond" w:hAnsi="Arial Nova Cond"/>
          <w:color w:val="525252" w:themeColor="accent3" w:themeShade="80"/>
        </w:rPr>
        <w:t>relevant to</w:t>
      </w:r>
      <w:r w:rsidR="001F094F" w:rsidRPr="00357E59">
        <w:rPr>
          <w:rFonts w:ascii="Arial Nova Cond" w:hAnsi="Arial Nova Cond"/>
          <w:color w:val="525252" w:themeColor="accent3" w:themeShade="80"/>
        </w:rPr>
        <w:t xml:space="preserve"> the </w:t>
      </w:r>
      <w:r w:rsidR="000A66BD" w:rsidRPr="00357E59">
        <w:rPr>
          <w:rFonts w:ascii="Arial Nova Cond" w:hAnsi="Arial Nova Cond"/>
          <w:color w:val="525252" w:themeColor="accent3" w:themeShade="80"/>
        </w:rPr>
        <w:t>APMCDRR pillars and topics.</w:t>
      </w:r>
      <w:r w:rsidRPr="00357E59">
        <w:rPr>
          <w:rFonts w:ascii="Arial Nova Cond" w:hAnsi="Arial Nova Cond"/>
          <w:color w:val="525252" w:themeColor="accent3" w:themeShade="80"/>
        </w:rPr>
        <w:t xml:space="preserve"> Each event will last 60 minutes and run parallel to the main </w:t>
      </w:r>
      <w:r w:rsidRPr="00357E59">
        <w:rPr>
          <w:rFonts w:ascii="Arial Nova Cond" w:hAnsi="Arial Nova Cond" w:cstheme="minorHAnsi"/>
          <w:color w:val="525252" w:themeColor="accent3" w:themeShade="80"/>
        </w:rPr>
        <w:t>sessions of the conference.</w:t>
      </w:r>
      <w:r w:rsidR="00C84FF3" w:rsidRPr="00357E59">
        <w:rPr>
          <w:rFonts w:ascii="Arial Nova Cond" w:hAnsi="Arial Nova Cond" w:cstheme="minorHAnsi"/>
          <w:color w:val="525252" w:themeColor="accent3" w:themeShade="80"/>
        </w:rPr>
        <w:t xml:space="preserve"> </w:t>
      </w:r>
      <w:r w:rsidR="00C84FF3" w:rsidRPr="00357E59">
        <w:rPr>
          <w:rStyle w:val="normaltextrun"/>
          <w:rFonts w:ascii="Arial Nova Cond" w:hAnsi="Arial Nova Cond" w:cs="Calibri"/>
          <w:color w:val="525252" w:themeColor="accent3" w:themeShade="80"/>
          <w:shd w:val="clear" w:color="auto" w:fill="FFFFFF"/>
        </w:rPr>
        <w:t>A dedicated venue will be allocated for partner events to successful applicants.</w:t>
      </w:r>
      <w:r w:rsidR="00932D9F" w:rsidRPr="00357E59">
        <w:rPr>
          <w:rStyle w:val="normaltextrun"/>
          <w:rFonts w:ascii="Arial Nova Cond" w:hAnsi="Arial Nova Cond" w:cs="Calibri"/>
          <w:color w:val="525252" w:themeColor="accent3" w:themeShade="80"/>
          <w:shd w:val="clear" w:color="auto" w:fill="FFFFFF"/>
        </w:rPr>
        <w:t xml:space="preserve"> Up to 18 partner events</w:t>
      </w:r>
      <w:r w:rsidR="008726E6" w:rsidRPr="00357E59">
        <w:rPr>
          <w:rStyle w:val="normaltextrun"/>
          <w:rFonts w:ascii="Arial Nova Cond" w:hAnsi="Arial Nova Cond" w:cs="Calibri"/>
          <w:color w:val="525252" w:themeColor="accent3" w:themeShade="80"/>
          <w:shd w:val="clear" w:color="auto" w:fill="FFFFFF"/>
        </w:rPr>
        <w:t xml:space="preserve"> can be accommodated during the conference</w:t>
      </w:r>
      <w:r w:rsidR="0023294C" w:rsidRPr="00357E59">
        <w:rPr>
          <w:rStyle w:val="normaltextrun"/>
          <w:rFonts w:ascii="Arial Nova Cond" w:hAnsi="Arial Nova Cond" w:cs="Calibri"/>
          <w:color w:val="525252" w:themeColor="accent3" w:themeShade="80"/>
          <w:shd w:val="clear" w:color="auto" w:fill="FFFFFF"/>
        </w:rPr>
        <w:t xml:space="preserve">. </w:t>
      </w:r>
      <w:r w:rsidR="00932D9F" w:rsidRPr="00357E59">
        <w:rPr>
          <w:rStyle w:val="normaltextrun"/>
          <w:rFonts w:ascii="Arial Nova Cond" w:hAnsi="Arial Nova Cond" w:cs="Calibri"/>
          <w:color w:val="525252" w:themeColor="accent3" w:themeShade="80"/>
          <w:shd w:val="clear" w:color="auto" w:fill="FFFFFF"/>
        </w:rPr>
        <w:t xml:space="preserve"> </w:t>
      </w:r>
    </w:p>
    <w:p w14:paraId="64D840EF" w14:textId="77777777" w:rsidR="00DB79DF" w:rsidRPr="00357E59" w:rsidRDefault="00DB79DF" w:rsidP="00DB79DF">
      <w:pPr>
        <w:pStyle w:val="Heading2"/>
        <w:spacing w:before="120" w:after="120" w:line="240" w:lineRule="auto"/>
        <w:rPr>
          <w:rFonts w:ascii="Arial Nova Cond" w:hAnsi="Arial Nova Cond"/>
          <w:color w:val="44546A" w:themeColor="text2"/>
          <w:sz w:val="22"/>
          <w:szCs w:val="22"/>
        </w:rPr>
      </w:pPr>
      <w:r w:rsidRPr="00357E59">
        <w:rPr>
          <w:rFonts w:ascii="Arial Nova Cond" w:hAnsi="Arial Nova Cond"/>
          <w:b/>
          <w:sz w:val="22"/>
          <w:szCs w:val="22"/>
        </w:rPr>
        <w:t>Reporting and Outcomes</w:t>
      </w:r>
    </w:p>
    <w:p w14:paraId="573FFD2B" w14:textId="20EE4EA3" w:rsidR="00DB79DF" w:rsidRPr="00357E59" w:rsidRDefault="00DB79DF" w:rsidP="00DB79DF">
      <w:pPr>
        <w:spacing w:before="120" w:after="120" w:line="240" w:lineRule="auto"/>
        <w:rPr>
          <w:rFonts w:ascii="Arial Nova Cond" w:hAnsi="Arial Nova Cond"/>
          <w:color w:val="525252" w:themeColor="accent3" w:themeShade="80"/>
        </w:rPr>
      </w:pPr>
      <w:r w:rsidRPr="00357E59">
        <w:rPr>
          <w:rFonts w:ascii="Arial Nova Cond" w:hAnsi="Arial Nova Cond"/>
          <w:color w:val="525252" w:themeColor="accent3" w:themeShade="80"/>
        </w:rPr>
        <w:t xml:space="preserve">Following the Partner Event, the organiser will submit a 300-word outcome summary to the Secretariat. </w:t>
      </w:r>
      <w:r w:rsidR="0007167A" w:rsidRPr="00357E59">
        <w:rPr>
          <w:rFonts w:ascii="Arial Nova Cond" w:hAnsi="Arial Nova Cond"/>
          <w:color w:val="525252" w:themeColor="accent3" w:themeShade="80"/>
        </w:rPr>
        <w:t xml:space="preserve">A template will be provided to successful applicants </w:t>
      </w:r>
      <w:r w:rsidR="00F87CF0" w:rsidRPr="00357E59">
        <w:rPr>
          <w:rFonts w:ascii="Arial Nova Cond" w:hAnsi="Arial Nova Cond"/>
          <w:color w:val="525252" w:themeColor="accent3" w:themeShade="80"/>
        </w:rPr>
        <w:t xml:space="preserve">in due course to </w:t>
      </w:r>
      <w:r w:rsidR="00EB78F2" w:rsidRPr="00357E59">
        <w:rPr>
          <w:rFonts w:ascii="Arial Nova Cond" w:hAnsi="Arial Nova Cond"/>
          <w:color w:val="525252" w:themeColor="accent3" w:themeShade="80"/>
        </w:rPr>
        <w:t xml:space="preserve">assist with reporting. </w:t>
      </w:r>
      <w:r w:rsidRPr="00357E59">
        <w:rPr>
          <w:rFonts w:ascii="Arial Nova Cond" w:hAnsi="Arial Nova Cond"/>
          <w:color w:val="525252" w:themeColor="accent3" w:themeShade="80"/>
        </w:rPr>
        <w:t xml:space="preserve">The outcomes of the Partner Events will be reflected in the proceedings of the Conference. </w:t>
      </w:r>
    </w:p>
    <w:p w14:paraId="4CE04D7C" w14:textId="77777777" w:rsidR="00DB79DF" w:rsidRPr="00357E59" w:rsidRDefault="00DB79DF" w:rsidP="00DB79DF">
      <w:pPr>
        <w:pStyle w:val="Heading2"/>
        <w:spacing w:before="120" w:after="120" w:line="240" w:lineRule="auto"/>
        <w:rPr>
          <w:rFonts w:ascii="Arial Nova Cond" w:hAnsi="Arial Nova Cond"/>
          <w:b/>
          <w:sz w:val="22"/>
          <w:szCs w:val="22"/>
        </w:rPr>
      </w:pPr>
      <w:r w:rsidRPr="00357E59">
        <w:rPr>
          <w:rFonts w:ascii="Arial Nova Cond" w:hAnsi="Arial Nova Cond"/>
          <w:b/>
          <w:sz w:val="22"/>
          <w:szCs w:val="22"/>
        </w:rPr>
        <w:t>Selection Process</w:t>
      </w:r>
    </w:p>
    <w:p w14:paraId="54097958" w14:textId="6C50FDBE" w:rsidR="00DB79DF" w:rsidRPr="00357E59" w:rsidRDefault="000D62FE" w:rsidP="00DB79DF">
      <w:pPr>
        <w:spacing w:before="120" w:after="120" w:line="240" w:lineRule="auto"/>
        <w:rPr>
          <w:rFonts w:ascii="Arial Nova Cond" w:hAnsi="Arial Nova Cond"/>
          <w:color w:val="525252" w:themeColor="accent3" w:themeShade="80"/>
        </w:rPr>
      </w:pPr>
      <w:r w:rsidRPr="00357E59">
        <w:rPr>
          <w:rFonts w:ascii="Arial Nova Cond" w:hAnsi="Arial Nova Cond"/>
          <w:color w:val="525252" w:themeColor="accent3" w:themeShade="80"/>
        </w:rPr>
        <w:t>UNDRR, DFAT and a relevant working group expert</w:t>
      </w:r>
      <w:r w:rsidR="00DB79DF" w:rsidRPr="00357E59">
        <w:rPr>
          <w:rFonts w:ascii="Arial Nova Cond" w:hAnsi="Arial Nova Cond"/>
          <w:color w:val="525252" w:themeColor="accent3" w:themeShade="80"/>
        </w:rPr>
        <w:t xml:space="preserve"> will assess expressions of interest and advise successful applicants. Every effort will be made to ensure a variety of topics are presented. As there are limited slots for Partner Events, applicants may be requested to merge their events to enable maximum content coverage.</w:t>
      </w:r>
    </w:p>
    <w:p w14:paraId="2B54258D" w14:textId="0E21D23B" w:rsidR="00DB79DF" w:rsidRPr="00357E59" w:rsidRDefault="00DB79DF" w:rsidP="00DB79DF">
      <w:pPr>
        <w:spacing w:before="120" w:after="120" w:line="240" w:lineRule="auto"/>
        <w:rPr>
          <w:rFonts w:ascii="Arial Nova Cond" w:hAnsi="Arial Nova Cond"/>
          <w:color w:val="525252" w:themeColor="accent3" w:themeShade="80"/>
        </w:rPr>
      </w:pPr>
      <w:r w:rsidRPr="00357E59">
        <w:rPr>
          <w:rFonts w:ascii="Arial Nova Cond" w:hAnsi="Arial Nova Cond"/>
          <w:color w:val="525252" w:themeColor="accent3" w:themeShade="80"/>
        </w:rPr>
        <w:t>The following criteria will be used in the selection process:</w:t>
      </w:r>
    </w:p>
    <w:p w14:paraId="395062E1" w14:textId="3FF880EC" w:rsidR="00C023CA" w:rsidRPr="00357E59" w:rsidRDefault="00DB79DF" w:rsidP="00AA31B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</w:rPr>
      </w:pPr>
      <w:r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>Relevance of the theme/issue addressed</w:t>
      </w:r>
      <w:r w:rsidR="000A66BD"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 xml:space="preserve"> </w:t>
      </w:r>
      <w:r w:rsidR="000A66BD" w:rsidRPr="00357E59">
        <w:rPr>
          <w:rStyle w:val="normaltextrun"/>
          <w:rFonts w:ascii="Arial Nova Cond" w:hAnsi="Arial Nova Cond" w:cs="Calibri"/>
          <w:color w:val="525252" w:themeColor="accent3" w:themeShade="80"/>
          <w:sz w:val="22"/>
          <w:szCs w:val="22"/>
          <w:shd w:val="clear" w:color="auto" w:fill="FFFFFF"/>
          <w:lang w:val="en-AU"/>
        </w:rPr>
        <w:t>to Sendai Framework and/or APMCDRR themes or cross-cutting issues.</w:t>
      </w:r>
      <w:r w:rsidR="000A66BD" w:rsidRPr="00357E59">
        <w:rPr>
          <w:rStyle w:val="eop"/>
          <w:rFonts w:ascii="Arial Nova Cond" w:hAnsi="Arial Nova Cond" w:cs="Calibri"/>
          <w:color w:val="525252" w:themeColor="accent3" w:themeShade="80"/>
          <w:sz w:val="22"/>
          <w:szCs w:val="22"/>
          <w:shd w:val="clear" w:color="auto" w:fill="FFFFFF"/>
        </w:rPr>
        <w:t> </w:t>
      </w:r>
    </w:p>
    <w:p w14:paraId="22596803" w14:textId="251532F3" w:rsidR="00DB79DF" w:rsidRPr="00357E59" w:rsidRDefault="00DB79DF" w:rsidP="00AA31B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 Nova Cond" w:eastAsia="Yu Mincho" w:hAnsi="Arial Nova Cond" w:cs="Calibri"/>
          <w:color w:val="525252" w:themeColor="accent3" w:themeShade="80"/>
          <w:sz w:val="22"/>
          <w:szCs w:val="22"/>
        </w:rPr>
      </w:pPr>
      <w:r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 xml:space="preserve">Experience and expertise of facilitators 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recognized within the field.</w:t>
      </w:r>
      <w:r w:rsidRPr="00357E59">
        <w:rPr>
          <w:rStyle w:val="eop"/>
          <w:rFonts w:ascii="Arial Nova Cond" w:eastAsia="Yu Mincho" w:hAnsi="Arial Nova Cond" w:cs="Calibri"/>
          <w:color w:val="525252" w:themeColor="accent3" w:themeShade="80"/>
          <w:sz w:val="22"/>
          <w:szCs w:val="22"/>
        </w:rPr>
        <w:t> </w:t>
      </w:r>
    </w:p>
    <w:p w14:paraId="5AF80D36" w14:textId="77777777" w:rsidR="00DB79DF" w:rsidRPr="00357E59" w:rsidRDefault="00DB79DF" w:rsidP="00DB79D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 Nova Cond" w:eastAsia="Yu Mincho" w:hAnsi="Arial Nova Cond" w:cs="Calibri"/>
          <w:color w:val="525252" w:themeColor="accent3" w:themeShade="80"/>
          <w:sz w:val="22"/>
          <w:szCs w:val="22"/>
        </w:rPr>
      </w:pPr>
      <w:r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 xml:space="preserve">Format: 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interactive discussion; innovative approaches to experience sharing and knowledge creation would be prioritized.</w:t>
      </w:r>
      <w:r w:rsidRPr="00357E59">
        <w:rPr>
          <w:rStyle w:val="eop"/>
          <w:rFonts w:ascii="Arial Nova Cond" w:eastAsia="Yu Mincho" w:hAnsi="Arial Nova Cond" w:cs="Calibri"/>
          <w:color w:val="525252" w:themeColor="accent3" w:themeShade="80"/>
          <w:sz w:val="22"/>
          <w:szCs w:val="22"/>
        </w:rPr>
        <w:t> </w:t>
      </w:r>
    </w:p>
    <w:p w14:paraId="791FAD73" w14:textId="42A89D48" w:rsidR="00DB79DF" w:rsidRPr="00357E59" w:rsidRDefault="00DB79DF" w:rsidP="00DB79D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 Nova Cond" w:eastAsia="Yu Mincho" w:hAnsi="Arial Nova Cond" w:cs="Calibri"/>
          <w:color w:val="525252" w:themeColor="accent3" w:themeShade="80"/>
          <w:sz w:val="22"/>
          <w:szCs w:val="22"/>
        </w:rPr>
      </w:pPr>
      <w:r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 xml:space="preserve">Collaboration: </w:t>
      </w:r>
      <w:r w:rsidR="00C023CA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Minimum of 2 organisations/partners.</w:t>
      </w:r>
      <w:r w:rsidR="00C023CA"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 xml:space="preserve"> 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Proposals led by consortium, networks and/or alliance would be given preference.</w:t>
      </w:r>
      <w:r w:rsidRPr="00357E59">
        <w:rPr>
          <w:rStyle w:val="eop"/>
          <w:rFonts w:ascii="Arial Nova Cond" w:eastAsia="Yu Mincho" w:hAnsi="Arial Nova Cond" w:cs="Calibri"/>
          <w:color w:val="525252" w:themeColor="accent3" w:themeShade="80"/>
          <w:sz w:val="22"/>
          <w:szCs w:val="22"/>
        </w:rPr>
        <w:t> </w:t>
      </w:r>
    </w:p>
    <w:p w14:paraId="4F4E1701" w14:textId="331B2766" w:rsidR="00DB79DF" w:rsidRPr="00357E59" w:rsidRDefault="00FD729C" w:rsidP="00DB79D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 Nova Cond" w:eastAsia="Yu Mincho" w:hAnsi="Arial Nova Cond"/>
          <w:color w:val="525252" w:themeColor="accent3" w:themeShade="80"/>
          <w:sz w:val="22"/>
          <w:szCs w:val="22"/>
        </w:rPr>
      </w:pPr>
      <w:r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>Duration:</w:t>
      </w:r>
      <w:r w:rsidR="00DB79DF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 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Demonstr</w:t>
      </w:r>
      <w:r w:rsidR="00C5040B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ated </w:t>
      </w:r>
      <w:r w:rsidR="00DB79DF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ability to </w:t>
      </w:r>
      <w:r w:rsidR="00E305BA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deliver the event </w:t>
      </w:r>
      <w:r w:rsidR="00DF06CE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and </w:t>
      </w:r>
      <w:r w:rsidR="00DB79DF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achieve objectives </w:t>
      </w:r>
      <w:r w:rsidR="00DF06CE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within </w:t>
      </w:r>
      <w:r w:rsidR="00DB79DF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the allocated</w:t>
      </w:r>
      <w:r w:rsidR="00C5040B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 time (</w:t>
      </w:r>
      <w:r w:rsidR="00C5040B"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>60 mins</w:t>
      </w:r>
      <w:r w:rsidR="00C5040B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)</w:t>
      </w:r>
      <w:r w:rsidR="00DB79DF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.</w:t>
      </w:r>
      <w:r w:rsidR="00DB79DF" w:rsidRPr="00357E59">
        <w:rPr>
          <w:rStyle w:val="eop"/>
          <w:rFonts w:ascii="Arial Nova Cond" w:eastAsia="Yu Mincho" w:hAnsi="Arial Nova Cond" w:cs="Calibri"/>
          <w:color w:val="525252" w:themeColor="accent3" w:themeShade="80"/>
          <w:sz w:val="22"/>
          <w:szCs w:val="22"/>
        </w:rPr>
        <w:t> </w:t>
      </w:r>
    </w:p>
    <w:p w14:paraId="01D54F85" w14:textId="6EFAE00D" w:rsidR="00DB79DF" w:rsidRPr="00357E59" w:rsidRDefault="00DB79DF" w:rsidP="00DB79D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 Nova Cond" w:eastAsia="Yu Mincho" w:hAnsi="Arial Nova Cond"/>
          <w:color w:val="525252" w:themeColor="accent3" w:themeShade="80"/>
          <w:sz w:val="22"/>
          <w:szCs w:val="22"/>
        </w:rPr>
      </w:pPr>
      <w:r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 xml:space="preserve">Breadth of representation: 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Where possible, organisations, countries and stakeholder groups </w:t>
      </w:r>
      <w:r w:rsidR="00A36172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will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 not be given more than one </w:t>
      </w:r>
      <w:r w:rsidR="00470994"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session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>.</w:t>
      </w:r>
      <w:r w:rsidRPr="00357E59">
        <w:rPr>
          <w:rStyle w:val="eop"/>
          <w:rFonts w:ascii="Arial Nova Cond" w:eastAsia="Yu Mincho" w:hAnsi="Arial Nova Cond" w:cs="Calibri"/>
          <w:color w:val="525252" w:themeColor="accent3" w:themeShade="80"/>
          <w:sz w:val="22"/>
          <w:szCs w:val="22"/>
        </w:rPr>
        <w:t> </w:t>
      </w:r>
    </w:p>
    <w:p w14:paraId="56687C50" w14:textId="77777777" w:rsidR="000A66BD" w:rsidRPr="00357E59" w:rsidRDefault="00DB79DF" w:rsidP="00DB79D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 Nova Cond" w:eastAsia="Yu Mincho" w:hAnsi="Arial Nova Cond"/>
          <w:color w:val="525252" w:themeColor="accent3" w:themeShade="80"/>
          <w:sz w:val="22"/>
          <w:szCs w:val="22"/>
        </w:rPr>
      </w:pPr>
      <w:r w:rsidRPr="00357E59">
        <w:rPr>
          <w:rStyle w:val="normaltextrun"/>
          <w:rFonts w:ascii="Arial Nova Cond" w:eastAsia="Yu Mincho" w:hAnsi="Arial Nova Cond" w:cs="Calibri"/>
          <w:b/>
          <w:bCs/>
          <w:color w:val="525252" w:themeColor="accent3" w:themeShade="80"/>
          <w:sz w:val="22"/>
          <w:szCs w:val="22"/>
          <w:lang w:val="en-AU"/>
        </w:rPr>
        <w:t>Breadth of target audience:</w:t>
      </w:r>
      <w:r w:rsidRPr="00357E59">
        <w:rPr>
          <w:rStyle w:val="normaltextrun"/>
          <w:rFonts w:ascii="Arial Nova Cond" w:eastAsia="Yu Mincho" w:hAnsi="Arial Nova Cond" w:cs="Calibri"/>
          <w:color w:val="525252" w:themeColor="accent3" w:themeShade="80"/>
          <w:sz w:val="22"/>
          <w:szCs w:val="22"/>
          <w:lang w:val="en-AU"/>
        </w:rPr>
        <w:t xml:space="preserve"> Where possible, a variety of audience should be targeted.</w:t>
      </w:r>
    </w:p>
    <w:p w14:paraId="7CB711C3" w14:textId="77777777" w:rsidR="00AD739F" w:rsidRPr="00357E59" w:rsidRDefault="00AD739F" w:rsidP="00DB79DF">
      <w:pPr>
        <w:jc w:val="center"/>
        <w:rPr>
          <w:rFonts w:ascii="Arial Nova Cond" w:hAnsi="Arial Nova Cond"/>
          <w:b/>
          <w:bCs/>
        </w:rPr>
      </w:pPr>
    </w:p>
    <w:p w14:paraId="78DFAAA0" w14:textId="1F433EA8" w:rsidR="0077560C" w:rsidRPr="00C5040B" w:rsidRDefault="00DB79DF" w:rsidP="00C5040B">
      <w:pPr>
        <w:jc w:val="center"/>
        <w:rPr>
          <w:rFonts w:ascii="Arial Nova Cond" w:hAnsi="Arial Nova Cond"/>
          <w:b/>
          <w:color w:val="525252" w:themeColor="accent3" w:themeShade="80"/>
        </w:rPr>
      </w:pPr>
      <w:r w:rsidRPr="00357E59">
        <w:rPr>
          <w:rFonts w:ascii="Arial Nova Cond" w:hAnsi="Arial Nova Cond"/>
          <w:b/>
          <w:color w:val="525252" w:themeColor="accent3" w:themeShade="80"/>
        </w:rPr>
        <w:t xml:space="preserve">Applications for all opportunities close 11.59pm (AEDT) on </w:t>
      </w:r>
      <w:r w:rsidR="00357E59" w:rsidRPr="00357E59">
        <w:rPr>
          <w:rFonts w:ascii="Arial Nova Cond" w:hAnsi="Arial Nova Cond"/>
          <w:b/>
          <w:color w:val="525252" w:themeColor="accent3" w:themeShade="80"/>
        </w:rPr>
        <w:t>22</w:t>
      </w:r>
      <w:r w:rsidR="006C58A3" w:rsidRPr="00357E59">
        <w:rPr>
          <w:rFonts w:ascii="Arial Nova Cond" w:hAnsi="Arial Nova Cond"/>
          <w:b/>
          <w:color w:val="525252" w:themeColor="accent3" w:themeShade="80"/>
        </w:rPr>
        <w:t xml:space="preserve"> </w:t>
      </w:r>
      <w:r w:rsidR="00C5040B" w:rsidRPr="00357E59">
        <w:rPr>
          <w:rFonts w:ascii="Arial Nova Cond" w:hAnsi="Arial Nova Cond"/>
          <w:b/>
          <w:color w:val="525252" w:themeColor="accent3" w:themeShade="80"/>
        </w:rPr>
        <w:t>May</w:t>
      </w:r>
      <w:r w:rsidRPr="00357E59">
        <w:rPr>
          <w:rFonts w:ascii="Arial Nova Cond" w:hAnsi="Arial Nova Cond"/>
          <w:b/>
          <w:color w:val="525252" w:themeColor="accent3" w:themeShade="80"/>
        </w:rPr>
        <w:t xml:space="preserve"> 2022. Applicants will be advised if successful within four to six weeks from the close of applications.</w:t>
      </w:r>
      <w:r w:rsidR="00C5040B" w:rsidRPr="00357E59">
        <w:rPr>
          <w:rFonts w:ascii="Arial Nova Cond" w:hAnsi="Arial Nova Cond"/>
          <w:b/>
          <w:color w:val="525252" w:themeColor="accent3" w:themeShade="80"/>
        </w:rPr>
        <w:t xml:space="preserve"> </w:t>
      </w:r>
      <w:r w:rsidR="00C5040B" w:rsidRPr="00357E59">
        <w:rPr>
          <w:rFonts w:ascii="Arial Nova Cond" w:hAnsi="Arial Nova Cond"/>
          <w:b/>
          <w:color w:val="525252" w:themeColor="accent3" w:themeShade="80"/>
        </w:rPr>
        <w:br/>
        <w:t>Detailed information with further advice will be sent to successful applicants to complete the registration process.</w:t>
      </w:r>
    </w:p>
    <w:sectPr w:rsidR="0077560C" w:rsidRPr="00C5040B" w:rsidSect="00734C2B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D07B" w14:textId="77777777" w:rsidR="0031777B" w:rsidRDefault="0031777B" w:rsidP="00C941C0">
      <w:pPr>
        <w:spacing w:after="0" w:line="240" w:lineRule="auto"/>
      </w:pPr>
      <w:r>
        <w:separator/>
      </w:r>
    </w:p>
  </w:endnote>
  <w:endnote w:type="continuationSeparator" w:id="0">
    <w:p w14:paraId="1C29593F" w14:textId="77777777" w:rsidR="0031777B" w:rsidRDefault="0031777B" w:rsidP="00C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CC6F7" w14:textId="77777777" w:rsidR="0031777B" w:rsidRDefault="0031777B" w:rsidP="00C941C0">
      <w:pPr>
        <w:spacing w:after="0" w:line="240" w:lineRule="auto"/>
      </w:pPr>
      <w:r>
        <w:separator/>
      </w:r>
    </w:p>
  </w:footnote>
  <w:footnote w:type="continuationSeparator" w:id="0">
    <w:p w14:paraId="49529A10" w14:textId="77777777" w:rsidR="0031777B" w:rsidRDefault="0031777B" w:rsidP="00C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0ABA"/>
    <w:multiLevelType w:val="multilevel"/>
    <w:tmpl w:val="8206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A602F"/>
    <w:multiLevelType w:val="multilevel"/>
    <w:tmpl w:val="482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F10918"/>
    <w:multiLevelType w:val="hybridMultilevel"/>
    <w:tmpl w:val="37B0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2C670E"/>
    <w:multiLevelType w:val="multilevel"/>
    <w:tmpl w:val="8556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E439D6"/>
    <w:multiLevelType w:val="hybridMultilevel"/>
    <w:tmpl w:val="05A63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86AC4"/>
    <w:multiLevelType w:val="multilevel"/>
    <w:tmpl w:val="6AB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sLAwMTA1MjU2tTBQ0lEKTi0uzszPAykwrAUAtekMTywAAAA="/>
  </w:docVars>
  <w:rsids>
    <w:rsidRoot w:val="00DB79DF"/>
    <w:rsid w:val="0007167A"/>
    <w:rsid w:val="000A3DF0"/>
    <w:rsid w:val="000A66BD"/>
    <w:rsid w:val="000D62FE"/>
    <w:rsid w:val="001F094F"/>
    <w:rsid w:val="0023294C"/>
    <w:rsid w:val="002558F4"/>
    <w:rsid w:val="00281747"/>
    <w:rsid w:val="002A3A71"/>
    <w:rsid w:val="002C0306"/>
    <w:rsid w:val="0031777B"/>
    <w:rsid w:val="00357E59"/>
    <w:rsid w:val="003C60FE"/>
    <w:rsid w:val="00470994"/>
    <w:rsid w:val="00562EB9"/>
    <w:rsid w:val="005751B7"/>
    <w:rsid w:val="005D4245"/>
    <w:rsid w:val="00666906"/>
    <w:rsid w:val="006C58A3"/>
    <w:rsid w:val="0077560C"/>
    <w:rsid w:val="00836C87"/>
    <w:rsid w:val="008726E6"/>
    <w:rsid w:val="008B277A"/>
    <w:rsid w:val="00932D9F"/>
    <w:rsid w:val="0095747A"/>
    <w:rsid w:val="00973B05"/>
    <w:rsid w:val="00976CF9"/>
    <w:rsid w:val="00A36172"/>
    <w:rsid w:val="00A36AE1"/>
    <w:rsid w:val="00A37566"/>
    <w:rsid w:val="00A77A38"/>
    <w:rsid w:val="00AA6572"/>
    <w:rsid w:val="00AD739F"/>
    <w:rsid w:val="00B21DCD"/>
    <w:rsid w:val="00BB4C46"/>
    <w:rsid w:val="00C023CA"/>
    <w:rsid w:val="00C474D2"/>
    <w:rsid w:val="00C5040B"/>
    <w:rsid w:val="00C64F92"/>
    <w:rsid w:val="00C67125"/>
    <w:rsid w:val="00C84FF3"/>
    <w:rsid w:val="00C941C0"/>
    <w:rsid w:val="00CC1819"/>
    <w:rsid w:val="00DB79DF"/>
    <w:rsid w:val="00DF06CE"/>
    <w:rsid w:val="00E305BA"/>
    <w:rsid w:val="00E43FF0"/>
    <w:rsid w:val="00E576B0"/>
    <w:rsid w:val="00E818EC"/>
    <w:rsid w:val="00E84222"/>
    <w:rsid w:val="00E9284B"/>
    <w:rsid w:val="00EB78F2"/>
    <w:rsid w:val="00F87CF0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E54DA"/>
  <w15:chartTrackingRefBased/>
  <w15:docId w15:val="{528DC1AA-A274-4DD1-8213-9524224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DF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9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DB79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DB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B79DF"/>
  </w:style>
  <w:style w:type="character" w:customStyle="1" w:styleId="eop">
    <w:name w:val="eop"/>
    <w:basedOn w:val="DefaultParagraphFont"/>
    <w:rsid w:val="00DB79DF"/>
  </w:style>
  <w:style w:type="character" w:styleId="CommentReference">
    <w:name w:val="annotation reference"/>
    <w:basedOn w:val="DefaultParagraphFont"/>
    <w:uiPriority w:val="99"/>
    <w:semiHidden/>
    <w:unhideWhenUsed/>
    <w:rsid w:val="0023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94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94C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Yanick Michaud-Marcotte</dc:creator>
  <cp:keywords> [SEC=OFFICIAL]</cp:keywords>
  <dc:description/>
  <cp:lastModifiedBy>Omar Amach</cp:lastModifiedBy>
  <cp:revision>2</cp:revision>
  <dcterms:created xsi:type="dcterms:W3CDTF">2022-03-22T07:48:00Z</dcterms:created>
  <dcterms:modified xsi:type="dcterms:W3CDTF">2022-03-22T07:48:00Z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439671E362CA471DBF310C96F87EACB7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C5916FFB9360109AF78C5997DA1AB64D0D801276</vt:lpwstr>
  </property>
  <property fmtid="{D5CDD505-2E9C-101B-9397-08002B2CF9AE}" pid="11" name="PM_OriginationTimeStamp">
    <vt:lpwstr>2022-03-22T05:03:57Z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B305E8AB828DD345EA140B33CF080336</vt:lpwstr>
  </property>
  <property fmtid="{D5CDD505-2E9C-101B-9397-08002B2CF9AE}" pid="21" name="PM_Hash_Salt">
    <vt:lpwstr>3AEC84251109685D930E499DCD379E1E</vt:lpwstr>
  </property>
  <property fmtid="{D5CDD505-2E9C-101B-9397-08002B2CF9AE}" pid="22" name="PM_Hash_SHA1">
    <vt:lpwstr>13BF95F12D9A5F2574B9D49EFD392989196C37FC</vt:lpwstr>
  </property>
  <property fmtid="{D5CDD505-2E9C-101B-9397-08002B2CF9AE}" pid="23" name="PM_OriginatorUserAccountName_SHA256">
    <vt:lpwstr>BF1D4FC7730DFDA82D40F4B418A749DEDAC55926D5B304AAEDB32C9B14B29DA2</vt:lpwstr>
  </property>
  <property fmtid="{D5CDD505-2E9C-101B-9397-08002B2CF9AE}" pid="24" name="PM_OriginatorDomainName_SHA256">
    <vt:lpwstr>6F3591835F3B2A8A025B00B5BA6418010DA3A17C9C26EA9C049FFD28039489A2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